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269D" w14:textId="3F4DC8EF" w:rsidR="001D701E" w:rsidRPr="00883206" w:rsidRDefault="001C334E">
      <w:pPr>
        <w:rPr>
          <w:sz w:val="20"/>
          <w:szCs w:val="20"/>
        </w:rPr>
      </w:pPr>
      <w:r w:rsidRPr="00883206">
        <w:rPr>
          <w:noProof/>
          <w:sz w:val="20"/>
          <w:szCs w:val="20"/>
        </w:rPr>
        <w:drawing>
          <wp:inline distT="0" distB="0" distL="0" distR="0" wp14:anchorId="262261BA" wp14:editId="536A9EB3">
            <wp:extent cx="2048256" cy="585216"/>
            <wp:effectExtent l="0" t="0" r="0" b="571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CCC1E" w14:textId="4A0D48BE" w:rsidR="000D2F57" w:rsidRPr="00883206" w:rsidRDefault="00637207">
      <w:pPr>
        <w:rPr>
          <w:rFonts w:ascii="Times New Roman" w:hAnsi="Times New Roman" w:cs="Times New Roman"/>
          <w:b/>
          <w:bCs/>
        </w:rPr>
      </w:pPr>
      <w:r w:rsidRPr="00883206">
        <w:rPr>
          <w:rFonts w:ascii="Times New Roman" w:hAnsi="Times New Roman" w:cs="Times New Roman"/>
          <w:b/>
          <w:bCs/>
        </w:rPr>
        <w:t>VIA Federal Rulemaking Portal</w:t>
      </w:r>
    </w:p>
    <w:p w14:paraId="4B1F200F" w14:textId="633A4C69" w:rsidR="000D2F57" w:rsidRPr="00883206" w:rsidRDefault="008506FA" w:rsidP="000D2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</w:rPr>
        <w:t>October 12</w:t>
      </w:r>
      <w:r w:rsidR="000D2F57" w:rsidRPr="00883206">
        <w:rPr>
          <w:rFonts w:ascii="Times New Roman" w:hAnsi="Times New Roman" w:cs="Times New Roman"/>
        </w:rPr>
        <w:t>, 2021</w:t>
      </w:r>
    </w:p>
    <w:p w14:paraId="2DD158CD" w14:textId="534869A4" w:rsidR="000D2F57" w:rsidRPr="00883206" w:rsidRDefault="000D2F57" w:rsidP="000D2F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4CCDDC" w14:textId="44BA680B" w:rsidR="000D2F57" w:rsidRPr="00883206" w:rsidRDefault="000D2F57" w:rsidP="000D2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</w:rPr>
        <w:t>Ms. Melane Conyers-Ausbrooks</w:t>
      </w:r>
    </w:p>
    <w:p w14:paraId="3E364D9B" w14:textId="3C916DD9" w:rsidR="000D2F57" w:rsidRPr="00883206" w:rsidRDefault="000D2F57" w:rsidP="000D2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</w:rPr>
        <w:t>Secretary of the Board</w:t>
      </w:r>
    </w:p>
    <w:p w14:paraId="322FEB02" w14:textId="74B0CF8C" w:rsidR="000D2F57" w:rsidRPr="00883206" w:rsidRDefault="000D2F57" w:rsidP="000D2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</w:rPr>
        <w:t>National Credit Union Administration</w:t>
      </w:r>
    </w:p>
    <w:p w14:paraId="3E172632" w14:textId="1F3D7779" w:rsidR="000D2F57" w:rsidRPr="00883206" w:rsidRDefault="000D2F57" w:rsidP="000D2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</w:rPr>
        <w:t>1775 Duke Street</w:t>
      </w:r>
    </w:p>
    <w:p w14:paraId="141D28B6" w14:textId="5053D2DB" w:rsidR="000D2F57" w:rsidRPr="00883206" w:rsidRDefault="000D2F57" w:rsidP="000D2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</w:rPr>
        <w:t>Alexandria, VA 22314</w:t>
      </w:r>
    </w:p>
    <w:p w14:paraId="3ACCF77F" w14:textId="643F981B" w:rsidR="000D2F57" w:rsidRPr="00883206" w:rsidRDefault="000D2F57" w:rsidP="000D2F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6874F8" w14:textId="3E8CD270" w:rsidR="008506FA" w:rsidRPr="00883206" w:rsidRDefault="000D2F57" w:rsidP="000D2F5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83206">
        <w:rPr>
          <w:rFonts w:ascii="Times New Roman" w:hAnsi="Times New Roman" w:cs="Times New Roman"/>
        </w:rPr>
        <w:t>R</w:t>
      </w:r>
      <w:r w:rsidR="008506FA" w:rsidRPr="00883206">
        <w:rPr>
          <w:rFonts w:ascii="Times New Roman" w:hAnsi="Times New Roman" w:cs="Times New Roman"/>
        </w:rPr>
        <w:t>E</w:t>
      </w:r>
      <w:r w:rsidRPr="00883206">
        <w:rPr>
          <w:rFonts w:ascii="Times New Roman" w:hAnsi="Times New Roman" w:cs="Times New Roman"/>
        </w:rPr>
        <w:t xml:space="preserve">:  </w:t>
      </w:r>
      <w:r w:rsidR="008506FA" w:rsidRPr="00883206">
        <w:rPr>
          <w:rFonts w:ascii="Times New Roman" w:hAnsi="Times New Roman" w:cs="Times New Roman"/>
          <w:b/>
          <w:bCs/>
        </w:rPr>
        <w:t>RIN 3133-AF12 -</w:t>
      </w:r>
      <w:r w:rsidR="008506FA" w:rsidRPr="00883206">
        <w:rPr>
          <w:rFonts w:ascii="Times New Roman" w:hAnsi="Times New Roman" w:cs="Times New Roman"/>
        </w:rPr>
        <w:t xml:space="preserve"> </w:t>
      </w:r>
      <w:r w:rsidR="008506FA" w:rsidRPr="00883206">
        <w:rPr>
          <w:rFonts w:ascii="Times New Roman" w:hAnsi="Times New Roman" w:cs="Times New Roman"/>
          <w:b/>
          <w:bCs/>
        </w:rPr>
        <w:t>The Complex Credit Union Leverage Ratio; Risk-Based Capital</w:t>
      </w:r>
    </w:p>
    <w:p w14:paraId="120E6E98" w14:textId="62C3E657" w:rsidR="008506FA" w:rsidRPr="00883206" w:rsidRDefault="008506FA" w:rsidP="000D2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</w:rPr>
        <w:t xml:space="preserve"> </w:t>
      </w:r>
    </w:p>
    <w:p w14:paraId="0AF514FD" w14:textId="365B5A14" w:rsidR="000D2F57" w:rsidRPr="00883206" w:rsidRDefault="000D2F57" w:rsidP="00B31B10">
      <w:pPr>
        <w:spacing w:after="0" w:line="240" w:lineRule="auto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</w:rPr>
        <w:t>Dear Ms. Conyers-Ausbrooks:</w:t>
      </w:r>
    </w:p>
    <w:p w14:paraId="699B90DF" w14:textId="1011B287" w:rsidR="000D2F57" w:rsidRPr="00883206" w:rsidRDefault="000D2F57" w:rsidP="00B31B10">
      <w:pPr>
        <w:spacing w:after="0" w:line="240" w:lineRule="auto"/>
        <w:rPr>
          <w:rFonts w:ascii="Times New Roman" w:hAnsi="Times New Roman" w:cs="Times New Roman"/>
        </w:rPr>
      </w:pPr>
    </w:p>
    <w:p w14:paraId="1EA99F95" w14:textId="382A38F9" w:rsidR="00612B0A" w:rsidRPr="00883206" w:rsidRDefault="000D2F57" w:rsidP="00B31B10">
      <w:pPr>
        <w:spacing w:after="0" w:line="240" w:lineRule="auto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</w:rPr>
        <w:t xml:space="preserve">On behalf of Virginia’s credit unions, I am writing to the National Credit Union Administration (NCUA) </w:t>
      </w:r>
      <w:r w:rsidR="00250009" w:rsidRPr="00883206">
        <w:rPr>
          <w:rFonts w:ascii="Times New Roman" w:hAnsi="Times New Roman" w:cs="Times New Roman"/>
        </w:rPr>
        <w:t xml:space="preserve">providing our input </w:t>
      </w:r>
      <w:r w:rsidR="00D66E93" w:rsidRPr="00883206">
        <w:rPr>
          <w:rFonts w:ascii="Times New Roman" w:hAnsi="Times New Roman" w:cs="Times New Roman"/>
        </w:rPr>
        <w:t>for</w:t>
      </w:r>
      <w:r w:rsidR="00250009" w:rsidRPr="00883206">
        <w:rPr>
          <w:rFonts w:ascii="Times New Roman" w:hAnsi="Times New Roman" w:cs="Times New Roman"/>
        </w:rPr>
        <w:t xml:space="preserve"> the agency</w:t>
      </w:r>
      <w:r w:rsidR="00D66E93" w:rsidRPr="00883206">
        <w:rPr>
          <w:rFonts w:ascii="Times New Roman" w:hAnsi="Times New Roman" w:cs="Times New Roman"/>
        </w:rPr>
        <w:t xml:space="preserve"> proposed rule that would provide a simplified measure of capital adequacy for credit unions classified as complex (total assets greater than $500 million).</w:t>
      </w:r>
      <w:r w:rsidR="00784D0A" w:rsidRPr="00883206">
        <w:rPr>
          <w:rFonts w:ascii="Times New Roman" w:hAnsi="Times New Roman" w:cs="Times New Roman"/>
        </w:rPr>
        <w:t xml:space="preserve"> Of Virginia’s 111 credit unions, twenty-two (22) are complex.</w:t>
      </w:r>
      <w:r w:rsidR="00EC7EC1" w:rsidRPr="00883206">
        <w:rPr>
          <w:rFonts w:ascii="Times New Roman" w:hAnsi="Times New Roman" w:cs="Times New Roman"/>
        </w:rPr>
        <w:t xml:space="preserve">  The Virginia Credit Union League (VACUL) generally supports the objective </w:t>
      </w:r>
      <w:r w:rsidR="00F71455" w:rsidRPr="00883206">
        <w:rPr>
          <w:rFonts w:ascii="Times New Roman" w:hAnsi="Times New Roman" w:cs="Times New Roman"/>
        </w:rPr>
        <w:t>of the Complex Credit Union Leverage Ratio (CCULR) to provide a simpler option</w:t>
      </w:r>
      <w:r w:rsidR="00637207" w:rsidRPr="00883206">
        <w:rPr>
          <w:rFonts w:ascii="Times New Roman" w:hAnsi="Times New Roman" w:cs="Times New Roman"/>
        </w:rPr>
        <w:t xml:space="preserve"> to risk-based capital</w:t>
      </w:r>
      <w:r w:rsidR="00F71455" w:rsidRPr="00883206">
        <w:rPr>
          <w:rFonts w:ascii="Times New Roman" w:hAnsi="Times New Roman" w:cs="Times New Roman"/>
        </w:rPr>
        <w:t>.  However regardless of the methodology and calculation, VACUL does not believe credit unions should be subject to more stringent capitalization requirement</w:t>
      </w:r>
      <w:r w:rsidR="00612B0A" w:rsidRPr="00883206">
        <w:rPr>
          <w:rFonts w:ascii="Times New Roman" w:hAnsi="Times New Roman" w:cs="Times New Roman"/>
        </w:rPr>
        <w:t>s</w:t>
      </w:r>
      <w:r w:rsidR="00F71455" w:rsidRPr="00883206">
        <w:rPr>
          <w:rFonts w:ascii="Times New Roman" w:hAnsi="Times New Roman" w:cs="Times New Roman"/>
        </w:rPr>
        <w:t xml:space="preserve"> than community banks.  The credit union threshold for being designated as well capitalized (10%</w:t>
      </w:r>
      <w:r w:rsidR="00612B0A" w:rsidRPr="00883206">
        <w:rPr>
          <w:rFonts w:ascii="Times New Roman" w:hAnsi="Times New Roman" w:cs="Times New Roman"/>
        </w:rPr>
        <w:t xml:space="preserve"> by January 1, 2024</w:t>
      </w:r>
      <w:r w:rsidR="00F71455" w:rsidRPr="00883206">
        <w:rPr>
          <w:rFonts w:ascii="Times New Roman" w:hAnsi="Times New Roman" w:cs="Times New Roman"/>
        </w:rPr>
        <w:t xml:space="preserve">) </w:t>
      </w:r>
      <w:r w:rsidR="00176978" w:rsidRPr="00883206">
        <w:rPr>
          <w:rFonts w:ascii="Times New Roman" w:hAnsi="Times New Roman" w:cs="Times New Roman"/>
        </w:rPr>
        <w:t>should be no more than the 9% requirement under the Community Bank Leverage Ratio (CBLR) framework.</w:t>
      </w:r>
    </w:p>
    <w:p w14:paraId="46D87808" w14:textId="7981B800" w:rsidR="00637207" w:rsidRPr="00883206" w:rsidRDefault="00637207" w:rsidP="00B31B10">
      <w:pPr>
        <w:spacing w:after="0" w:line="240" w:lineRule="auto"/>
        <w:rPr>
          <w:rFonts w:ascii="Times New Roman" w:hAnsi="Times New Roman" w:cs="Times New Roman"/>
        </w:rPr>
      </w:pPr>
    </w:p>
    <w:p w14:paraId="007CC3D3" w14:textId="1F54F892" w:rsidR="00637207" w:rsidRPr="00883206" w:rsidRDefault="00637207" w:rsidP="00B31B10">
      <w:pPr>
        <w:spacing w:after="0" w:line="240" w:lineRule="auto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</w:rPr>
        <w:t>We provide the following additional comments for consideration:</w:t>
      </w:r>
    </w:p>
    <w:p w14:paraId="19D0B5A9" w14:textId="76D5C5D8" w:rsidR="00637207" w:rsidRPr="00883206" w:rsidRDefault="00637207" w:rsidP="00B31B10">
      <w:pPr>
        <w:spacing w:after="0" w:line="240" w:lineRule="auto"/>
        <w:rPr>
          <w:rFonts w:ascii="Times New Roman" w:hAnsi="Times New Roman" w:cs="Times New Roman"/>
        </w:rPr>
      </w:pPr>
    </w:p>
    <w:p w14:paraId="0213EB2E" w14:textId="04509FA8" w:rsidR="00637207" w:rsidRPr="00883206" w:rsidRDefault="00637207" w:rsidP="00B31B10">
      <w:pPr>
        <w:spacing w:after="0" w:line="240" w:lineRule="auto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  <w:b/>
          <w:bCs/>
        </w:rPr>
        <w:t xml:space="preserve">Transition period:  </w:t>
      </w:r>
      <w:r w:rsidR="00AB60CB" w:rsidRPr="00883206">
        <w:rPr>
          <w:rFonts w:ascii="Times New Roman" w:hAnsi="Times New Roman" w:cs="Times New Roman"/>
        </w:rPr>
        <w:t xml:space="preserve">As stated above, we believe that the 9% leverage is most appropriate in providing regulatory relief </w:t>
      </w:r>
      <w:r w:rsidR="005617D3" w:rsidRPr="00883206">
        <w:rPr>
          <w:rFonts w:ascii="Times New Roman" w:hAnsi="Times New Roman" w:cs="Times New Roman"/>
        </w:rPr>
        <w:t>consistent to CBLR requirements for banks with which credit unions m</w:t>
      </w:r>
      <w:r w:rsidR="008469E3" w:rsidRPr="00883206">
        <w:rPr>
          <w:rFonts w:ascii="Times New Roman" w:hAnsi="Times New Roman" w:cs="Times New Roman"/>
        </w:rPr>
        <w:t>u</w:t>
      </w:r>
      <w:r w:rsidR="005617D3" w:rsidRPr="00883206">
        <w:rPr>
          <w:rFonts w:ascii="Times New Roman" w:hAnsi="Times New Roman" w:cs="Times New Roman"/>
        </w:rPr>
        <w:t xml:space="preserve">st compete.  Consequently, establishing an 8% rate </w:t>
      </w:r>
      <w:r w:rsidR="008469E3" w:rsidRPr="00883206">
        <w:rPr>
          <w:rFonts w:ascii="Times New Roman" w:hAnsi="Times New Roman" w:cs="Times New Roman"/>
        </w:rPr>
        <w:t>for</w:t>
      </w:r>
      <w:r w:rsidR="005617D3" w:rsidRPr="00883206">
        <w:rPr>
          <w:rFonts w:ascii="Times New Roman" w:hAnsi="Times New Roman" w:cs="Times New Roman"/>
        </w:rPr>
        <w:t xml:space="preserve"> designation as well capitalized in the transition period is </w:t>
      </w:r>
      <w:r w:rsidR="008469E3" w:rsidRPr="00883206">
        <w:rPr>
          <w:rFonts w:ascii="Times New Roman" w:hAnsi="Times New Roman" w:cs="Times New Roman"/>
        </w:rPr>
        <w:t>desired</w:t>
      </w:r>
      <w:r w:rsidR="005617D3" w:rsidRPr="00883206">
        <w:rPr>
          <w:rFonts w:ascii="Times New Roman" w:hAnsi="Times New Roman" w:cs="Times New Roman"/>
        </w:rPr>
        <w:t>.  The two-year transition should also be extended as we still cannot predict the duration of balance sheet growth resulting from the pandemic and government stimulus spending.  A minimum transition period of three years should be considered.</w:t>
      </w:r>
    </w:p>
    <w:p w14:paraId="6BA1DBE7" w14:textId="3B7E1AD7" w:rsidR="00637207" w:rsidRPr="00883206" w:rsidRDefault="00637207" w:rsidP="00B31B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FD86F90" w14:textId="458B74B9" w:rsidR="00637207" w:rsidRPr="00883206" w:rsidRDefault="00637207" w:rsidP="00B31B10">
      <w:pPr>
        <w:spacing w:after="0" w:line="240" w:lineRule="auto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  <w:b/>
          <w:bCs/>
        </w:rPr>
        <w:t>Delayed enactment:</w:t>
      </w:r>
      <w:r w:rsidR="00640236" w:rsidRPr="00883206">
        <w:rPr>
          <w:rFonts w:ascii="Times New Roman" w:hAnsi="Times New Roman" w:cs="Times New Roman"/>
          <w:b/>
          <w:bCs/>
        </w:rPr>
        <w:t xml:space="preserve">  </w:t>
      </w:r>
      <w:r w:rsidR="00640236" w:rsidRPr="00883206">
        <w:rPr>
          <w:rFonts w:ascii="Times New Roman" w:hAnsi="Times New Roman" w:cs="Times New Roman"/>
        </w:rPr>
        <w:t xml:space="preserve">The January 1, 2022 effective date of the risk-based capital rule should be delayed to January 1, 2023 given this option of CCULR is still pending two short </w:t>
      </w:r>
      <w:r w:rsidR="009433D6" w:rsidRPr="00883206">
        <w:rPr>
          <w:rFonts w:ascii="Times New Roman" w:hAnsi="Times New Roman" w:cs="Times New Roman"/>
        </w:rPr>
        <w:t>months</w:t>
      </w:r>
      <w:r w:rsidR="00640236" w:rsidRPr="00883206">
        <w:rPr>
          <w:rFonts w:ascii="Times New Roman" w:hAnsi="Times New Roman" w:cs="Times New Roman"/>
        </w:rPr>
        <w:t xml:space="preserve"> out.  Further, changes to the Call Report necessary to document the calculations are still pending.</w:t>
      </w:r>
    </w:p>
    <w:p w14:paraId="022D6BF0" w14:textId="23928E63" w:rsidR="00637207" w:rsidRPr="00883206" w:rsidRDefault="00637207" w:rsidP="00B31B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724B1D" w14:textId="74A214C8" w:rsidR="00685B84" w:rsidRPr="00883206" w:rsidRDefault="00032D30" w:rsidP="00B31B10">
      <w:pPr>
        <w:spacing w:after="0" w:line="240" w:lineRule="auto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  <w:b/>
          <w:bCs/>
        </w:rPr>
        <w:t xml:space="preserve">Qualifying Criteria and </w:t>
      </w:r>
      <w:r w:rsidR="00637207" w:rsidRPr="00883206">
        <w:rPr>
          <w:rFonts w:ascii="Times New Roman" w:hAnsi="Times New Roman" w:cs="Times New Roman"/>
          <w:b/>
          <w:bCs/>
        </w:rPr>
        <w:t xml:space="preserve">Goodwill </w:t>
      </w:r>
      <w:r w:rsidRPr="00883206">
        <w:rPr>
          <w:rFonts w:ascii="Times New Roman" w:hAnsi="Times New Roman" w:cs="Times New Roman"/>
          <w:b/>
          <w:bCs/>
        </w:rPr>
        <w:t>T</w:t>
      </w:r>
      <w:r w:rsidR="00637207" w:rsidRPr="00883206">
        <w:rPr>
          <w:rFonts w:ascii="Times New Roman" w:hAnsi="Times New Roman" w:cs="Times New Roman"/>
          <w:b/>
          <w:bCs/>
        </w:rPr>
        <w:t>reatment:</w:t>
      </w:r>
      <w:r w:rsidRPr="00883206">
        <w:rPr>
          <w:rFonts w:ascii="Times New Roman" w:hAnsi="Times New Roman" w:cs="Times New Roman"/>
          <w:b/>
          <w:bCs/>
        </w:rPr>
        <w:t xml:space="preserve">  </w:t>
      </w:r>
      <w:r w:rsidR="00320799" w:rsidRPr="00883206">
        <w:rPr>
          <w:rFonts w:ascii="Times New Roman" w:hAnsi="Times New Roman" w:cs="Times New Roman"/>
        </w:rPr>
        <w:t>Under the proposal, th</w:t>
      </w:r>
      <w:r w:rsidR="00761505" w:rsidRPr="00883206">
        <w:rPr>
          <w:rFonts w:ascii="Times New Roman" w:hAnsi="Times New Roman" w:cs="Times New Roman"/>
        </w:rPr>
        <w:t>e qualifying criterion for a complex credit union to choose the CCULR are overly b</w:t>
      </w:r>
      <w:r w:rsidR="00C453F3">
        <w:rPr>
          <w:rFonts w:ascii="Times New Roman" w:hAnsi="Times New Roman" w:cs="Times New Roman"/>
        </w:rPr>
        <w:t>road</w:t>
      </w:r>
      <w:r w:rsidR="00761505" w:rsidRPr="00883206">
        <w:rPr>
          <w:rFonts w:ascii="Times New Roman" w:hAnsi="Times New Roman" w:cs="Times New Roman"/>
        </w:rPr>
        <w:t xml:space="preserve"> and complex.  Analysis of off-balance sheet exposures can be better assessed through the supervisory examination process.  </w:t>
      </w:r>
    </w:p>
    <w:p w14:paraId="6FA91B27" w14:textId="08F5B26B" w:rsidR="00685B84" w:rsidRDefault="00685B84" w:rsidP="00B31B10">
      <w:pPr>
        <w:spacing w:after="0" w:line="240" w:lineRule="auto"/>
        <w:rPr>
          <w:rFonts w:ascii="Times New Roman" w:hAnsi="Times New Roman" w:cs="Times New Roman"/>
        </w:rPr>
      </w:pPr>
    </w:p>
    <w:p w14:paraId="54CA68BE" w14:textId="742131DD" w:rsidR="00296FF0" w:rsidRDefault="00296FF0" w:rsidP="00B31B10">
      <w:pPr>
        <w:spacing w:after="0" w:line="240" w:lineRule="auto"/>
        <w:rPr>
          <w:rFonts w:ascii="Times New Roman" w:hAnsi="Times New Roman" w:cs="Times New Roman"/>
        </w:rPr>
      </w:pPr>
    </w:p>
    <w:p w14:paraId="3882DA41" w14:textId="77777777" w:rsidR="00296FF0" w:rsidRPr="00883206" w:rsidRDefault="00296FF0" w:rsidP="00B31B10">
      <w:pPr>
        <w:spacing w:after="0" w:line="240" w:lineRule="auto"/>
        <w:rPr>
          <w:rFonts w:ascii="Times New Roman" w:hAnsi="Times New Roman" w:cs="Times New Roman"/>
        </w:rPr>
      </w:pPr>
    </w:p>
    <w:p w14:paraId="62746A67" w14:textId="77777777" w:rsidR="00685B84" w:rsidRPr="00883206" w:rsidRDefault="00685B84" w:rsidP="00B31B10">
      <w:pPr>
        <w:spacing w:after="0" w:line="240" w:lineRule="auto"/>
        <w:rPr>
          <w:rFonts w:ascii="Times New Roman" w:hAnsi="Times New Roman" w:cs="Times New Roman"/>
        </w:rPr>
      </w:pPr>
    </w:p>
    <w:p w14:paraId="386643A0" w14:textId="4300166B" w:rsidR="00637207" w:rsidRPr="00883206" w:rsidRDefault="00824E16" w:rsidP="00B31B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83206">
        <w:rPr>
          <w:noProof/>
          <w:sz w:val="20"/>
          <w:szCs w:val="20"/>
        </w:rPr>
        <w:lastRenderedPageBreak/>
        <w:drawing>
          <wp:inline distT="0" distB="0" distL="0" distR="0" wp14:anchorId="0E5D7D71" wp14:editId="33A21472">
            <wp:extent cx="2048256" cy="585216"/>
            <wp:effectExtent l="0" t="0" r="0" b="571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206">
        <w:rPr>
          <w:rFonts w:ascii="Times New Roman" w:hAnsi="Times New Roman" w:cs="Times New Roman"/>
          <w:b/>
          <w:bCs/>
        </w:rPr>
        <w:tab/>
      </w:r>
      <w:r w:rsidRPr="00883206">
        <w:rPr>
          <w:rFonts w:ascii="Times New Roman" w:hAnsi="Times New Roman" w:cs="Times New Roman"/>
          <w:b/>
          <w:bCs/>
        </w:rPr>
        <w:tab/>
      </w:r>
      <w:r w:rsidRPr="00883206">
        <w:rPr>
          <w:rFonts w:ascii="Times New Roman" w:hAnsi="Times New Roman" w:cs="Times New Roman"/>
          <w:b/>
          <w:bCs/>
        </w:rPr>
        <w:tab/>
      </w:r>
      <w:r w:rsidRPr="00883206">
        <w:rPr>
          <w:rFonts w:ascii="Times New Roman" w:hAnsi="Times New Roman" w:cs="Times New Roman"/>
        </w:rPr>
        <w:t>- 2 -</w:t>
      </w:r>
    </w:p>
    <w:p w14:paraId="13FA2D4D" w14:textId="726C569E" w:rsidR="00824E16" w:rsidRPr="00883206" w:rsidRDefault="00824E16" w:rsidP="00B31B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43F1AC" w14:textId="669B1A24" w:rsidR="00BA5665" w:rsidRPr="00883206" w:rsidRDefault="00BA5665" w:rsidP="00B31B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B34A93" w14:textId="77777777" w:rsidR="00685B84" w:rsidRPr="00883206" w:rsidRDefault="00685B84" w:rsidP="00B31B10">
      <w:pPr>
        <w:spacing w:after="0" w:line="240" w:lineRule="auto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</w:rPr>
        <w:t xml:space="preserve">Specifically related to goodwill, the rule should differentiate between supervisory goodwill and </w:t>
      </w:r>
    </w:p>
    <w:p w14:paraId="6120A315" w14:textId="65396442" w:rsidR="002656DF" w:rsidRPr="00883206" w:rsidRDefault="00BA5665" w:rsidP="00B31B10">
      <w:pPr>
        <w:spacing w:after="0" w:line="240" w:lineRule="auto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</w:rPr>
        <w:t>elective goodwill in all risk-based capital ratios and CCULR criteria.  Under the 2015 Final Risk-Based Capital Rule, excluded goodwill is defined as the outstanding balance, maintained in accordance with GAAP, of any goodwill originating from a supervisory merger or combination that was completed on or before December 28,</w:t>
      </w:r>
      <w:r w:rsidR="002656DF" w:rsidRPr="00883206">
        <w:rPr>
          <w:rFonts w:ascii="Times New Roman" w:hAnsi="Times New Roman" w:cs="Times New Roman"/>
        </w:rPr>
        <w:t xml:space="preserve"> </w:t>
      </w:r>
      <w:r w:rsidRPr="00883206">
        <w:rPr>
          <w:rFonts w:ascii="Times New Roman" w:hAnsi="Times New Roman" w:cs="Times New Roman"/>
        </w:rPr>
        <w:t xml:space="preserve">2015.  Importantly, this treatment of goodwill will expire </w:t>
      </w:r>
      <w:r w:rsidRPr="00883206">
        <w:rPr>
          <w:rFonts w:ascii="Times New Roman" w:hAnsi="Times New Roman" w:cs="Times New Roman"/>
          <w:i/>
          <w:iCs/>
        </w:rPr>
        <w:t>January 1, 2029</w:t>
      </w:r>
      <w:r w:rsidRPr="00883206">
        <w:rPr>
          <w:rFonts w:ascii="Times New Roman" w:hAnsi="Times New Roman" w:cs="Times New Roman"/>
        </w:rPr>
        <w:t xml:space="preserve">.  Excluded other intangible assets is defined as the outstanding balance, maintained in accordance with GAAP, of any other intangible assets such as core deposit intangible, member relationship intangible, </w:t>
      </w:r>
      <w:r w:rsidR="00D35A3A" w:rsidRPr="00883206">
        <w:rPr>
          <w:rFonts w:ascii="Times New Roman" w:hAnsi="Times New Roman" w:cs="Times New Roman"/>
        </w:rPr>
        <w:t xml:space="preserve">or trade name intangible originating from a supervisory merger or combination that was completed on or before December 28, 2015.  This term and definition </w:t>
      </w:r>
      <w:r w:rsidR="00C453F3">
        <w:rPr>
          <w:rFonts w:ascii="Times New Roman" w:hAnsi="Times New Roman" w:cs="Times New Roman"/>
        </w:rPr>
        <w:t>will also</w:t>
      </w:r>
      <w:r w:rsidR="00D35A3A" w:rsidRPr="00883206">
        <w:rPr>
          <w:rFonts w:ascii="Times New Roman" w:hAnsi="Times New Roman" w:cs="Times New Roman"/>
        </w:rPr>
        <w:t xml:space="preserve"> expire on </w:t>
      </w:r>
      <w:r w:rsidR="00D35A3A" w:rsidRPr="00883206">
        <w:rPr>
          <w:rFonts w:ascii="Times New Roman" w:hAnsi="Times New Roman" w:cs="Times New Roman"/>
          <w:i/>
          <w:iCs/>
        </w:rPr>
        <w:t>January 1, 2029</w:t>
      </w:r>
      <w:r w:rsidR="00D35A3A" w:rsidRPr="00883206">
        <w:rPr>
          <w:rFonts w:ascii="Times New Roman" w:hAnsi="Times New Roman" w:cs="Times New Roman"/>
        </w:rPr>
        <w:t xml:space="preserve">. </w:t>
      </w:r>
    </w:p>
    <w:p w14:paraId="4857C469" w14:textId="77777777" w:rsidR="002656DF" w:rsidRPr="00883206" w:rsidRDefault="002656DF" w:rsidP="00B31B10">
      <w:pPr>
        <w:spacing w:after="0" w:line="240" w:lineRule="auto"/>
        <w:rPr>
          <w:rFonts w:ascii="Times New Roman" w:hAnsi="Times New Roman" w:cs="Times New Roman"/>
        </w:rPr>
      </w:pPr>
    </w:p>
    <w:p w14:paraId="6746BBEE" w14:textId="3C1D3A71" w:rsidR="00BA5665" w:rsidRPr="00883206" w:rsidRDefault="00D35A3A" w:rsidP="00B31B10">
      <w:pPr>
        <w:spacing w:after="0" w:line="240" w:lineRule="auto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</w:rPr>
        <w:t xml:space="preserve">The NCUA Board should honor the commitment made to credit unions acquiring goodwill through agency facilitated mergers of troubled credit unions.  Deducting supervisory goodwill from regulatory capital restricts growth and </w:t>
      </w:r>
      <w:r w:rsidR="005E7CA7" w:rsidRPr="00883206">
        <w:rPr>
          <w:rFonts w:ascii="Times New Roman" w:hAnsi="Times New Roman" w:cs="Times New Roman"/>
        </w:rPr>
        <w:t>decreases the likelihood that a healthy, well-capitalized credit union will assist with a supervisory merger of an under-capitalized credit union.  Establishing a formal process for permanently grandfathering supervisory goodwill acquired prior to 2015 is needed in assessing risk-based capital.</w:t>
      </w:r>
    </w:p>
    <w:p w14:paraId="0835D735" w14:textId="148DCBF2" w:rsidR="00685B84" w:rsidRPr="00883206" w:rsidRDefault="00685B84" w:rsidP="00B31B10">
      <w:pPr>
        <w:spacing w:after="0" w:line="240" w:lineRule="auto"/>
        <w:rPr>
          <w:rFonts w:ascii="Times New Roman" w:hAnsi="Times New Roman" w:cs="Times New Roman"/>
        </w:rPr>
      </w:pPr>
    </w:p>
    <w:p w14:paraId="1ED5C587" w14:textId="6D116896" w:rsidR="00685B84" w:rsidRPr="00883206" w:rsidRDefault="00685B84" w:rsidP="00B31B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83206">
        <w:rPr>
          <w:rFonts w:ascii="Times New Roman" w:hAnsi="Times New Roman" w:cs="Times New Roman"/>
        </w:rPr>
        <w:t xml:space="preserve">We specifically ask that NCUA allow credit unions to include goodwill in the numerator of calculation for purposes of CCULR.  GAAP </w:t>
      </w:r>
      <w:r w:rsidR="00A911D5" w:rsidRPr="00883206">
        <w:rPr>
          <w:rFonts w:ascii="Times New Roman" w:hAnsi="Times New Roman" w:cs="Times New Roman"/>
        </w:rPr>
        <w:t>classifies goodwill as an asset because it provides an ongoing revenue benefit.  Only goodwill that is impaired should be deducted.</w:t>
      </w:r>
    </w:p>
    <w:p w14:paraId="0446ECEF" w14:textId="77777777" w:rsidR="00824E16" w:rsidRPr="00883206" w:rsidRDefault="00824E16" w:rsidP="00B31B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8F6F75" w14:textId="0901A6B2" w:rsidR="00637207" w:rsidRPr="00883206" w:rsidRDefault="00637207" w:rsidP="00B31B10">
      <w:pPr>
        <w:spacing w:after="0" w:line="240" w:lineRule="auto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  <w:b/>
          <w:bCs/>
        </w:rPr>
        <w:t>Opt-in framework:</w:t>
      </w:r>
      <w:r w:rsidR="00824E16" w:rsidRPr="00883206">
        <w:rPr>
          <w:rFonts w:ascii="Times New Roman" w:hAnsi="Times New Roman" w:cs="Times New Roman"/>
          <w:b/>
          <w:bCs/>
        </w:rPr>
        <w:t xml:space="preserve">  </w:t>
      </w:r>
      <w:r w:rsidR="00824E16" w:rsidRPr="00883206">
        <w:rPr>
          <w:rFonts w:ascii="Times New Roman" w:hAnsi="Times New Roman" w:cs="Times New Roman"/>
        </w:rPr>
        <w:t>We do not believe a credit union should have to “opt-in” for CCULR.  Utilization of the CCULR each quarter should be a determination made b</w:t>
      </w:r>
      <w:r w:rsidR="002656DF" w:rsidRPr="00883206">
        <w:rPr>
          <w:rFonts w:ascii="Times New Roman" w:hAnsi="Times New Roman" w:cs="Times New Roman"/>
        </w:rPr>
        <w:t>y</w:t>
      </w:r>
      <w:r w:rsidR="00824E16" w:rsidRPr="00883206">
        <w:rPr>
          <w:rFonts w:ascii="Times New Roman" w:hAnsi="Times New Roman" w:cs="Times New Roman"/>
        </w:rPr>
        <w:t xml:space="preserve"> the credit union through completing the relevant sections of the Call Report.  </w:t>
      </w:r>
    </w:p>
    <w:p w14:paraId="12112FED" w14:textId="3868494D" w:rsidR="00637207" w:rsidRPr="00883206" w:rsidRDefault="00637207" w:rsidP="00B31B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EC6624" w14:textId="083B52C7" w:rsidR="00145881" w:rsidRPr="00883206" w:rsidRDefault="001B34C8" w:rsidP="00B31B10">
      <w:pPr>
        <w:spacing w:after="0" w:line="240" w:lineRule="auto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  <w:b/>
          <w:bCs/>
        </w:rPr>
        <w:t xml:space="preserve">Summary: </w:t>
      </w:r>
      <w:r w:rsidR="00612B0A" w:rsidRPr="00883206">
        <w:rPr>
          <w:rFonts w:ascii="Times New Roman" w:hAnsi="Times New Roman" w:cs="Times New Roman"/>
        </w:rPr>
        <w:t xml:space="preserve">VACUL appreciates the opportunity to comment and supports a well-capitalized, safe and sound industry.  </w:t>
      </w:r>
      <w:r w:rsidRPr="00883206">
        <w:rPr>
          <w:rFonts w:ascii="Times New Roman" w:hAnsi="Times New Roman" w:cs="Times New Roman"/>
        </w:rPr>
        <w:t>W</w:t>
      </w:r>
      <w:r w:rsidR="00443B58" w:rsidRPr="00883206">
        <w:rPr>
          <w:rFonts w:ascii="Times New Roman" w:hAnsi="Times New Roman" w:cs="Times New Roman"/>
        </w:rPr>
        <w:t>e do not believe credit unions should be required to hold excess capital (greater than 9% net worth)</w:t>
      </w:r>
      <w:r w:rsidR="002656DF" w:rsidRPr="00883206">
        <w:rPr>
          <w:rFonts w:ascii="Times New Roman" w:hAnsi="Times New Roman" w:cs="Times New Roman"/>
        </w:rPr>
        <w:t xml:space="preserve"> </w:t>
      </w:r>
      <w:r w:rsidR="00E325D0" w:rsidRPr="00883206">
        <w:rPr>
          <w:rFonts w:ascii="Times New Roman" w:hAnsi="Times New Roman" w:cs="Times New Roman"/>
        </w:rPr>
        <w:t>to</w:t>
      </w:r>
      <w:r w:rsidR="00443B58" w:rsidRPr="00883206">
        <w:rPr>
          <w:rFonts w:ascii="Times New Roman" w:hAnsi="Times New Roman" w:cs="Times New Roman"/>
        </w:rPr>
        <w:t xml:space="preserve"> choose the CCULR option.</w:t>
      </w:r>
      <w:r w:rsidR="006D2D25" w:rsidRPr="00883206">
        <w:rPr>
          <w:rFonts w:ascii="Times New Roman" w:hAnsi="Times New Roman" w:cs="Times New Roman"/>
        </w:rPr>
        <w:t xml:space="preserve">  In fact,</w:t>
      </w:r>
      <w:r w:rsidRPr="00883206">
        <w:rPr>
          <w:rFonts w:ascii="Times New Roman" w:hAnsi="Times New Roman" w:cs="Times New Roman"/>
        </w:rPr>
        <w:t xml:space="preserve"> the </w:t>
      </w:r>
      <w:r w:rsidR="006D2D25" w:rsidRPr="00883206">
        <w:rPr>
          <w:rFonts w:ascii="Times New Roman" w:hAnsi="Times New Roman" w:cs="Times New Roman"/>
        </w:rPr>
        <w:t>2015 Final Rule from which the current proposal stems is unnecessary to protect the NCUSIF and the solvency of the industry.</w:t>
      </w:r>
      <w:r w:rsidR="00443B58" w:rsidRPr="00883206">
        <w:rPr>
          <w:rFonts w:ascii="Times New Roman" w:hAnsi="Times New Roman" w:cs="Times New Roman"/>
        </w:rPr>
        <w:t xml:space="preserve"> The higher </w:t>
      </w:r>
      <w:r w:rsidR="006D2D25" w:rsidRPr="00883206">
        <w:rPr>
          <w:rFonts w:ascii="Times New Roman" w:hAnsi="Times New Roman" w:cs="Times New Roman"/>
        </w:rPr>
        <w:t xml:space="preserve">capital </w:t>
      </w:r>
      <w:r w:rsidR="00443B58" w:rsidRPr="00883206">
        <w:rPr>
          <w:rFonts w:ascii="Times New Roman" w:hAnsi="Times New Roman" w:cs="Times New Roman"/>
        </w:rPr>
        <w:t>ratio</w:t>
      </w:r>
      <w:r w:rsidR="006D2D25" w:rsidRPr="00883206">
        <w:rPr>
          <w:rFonts w:ascii="Times New Roman" w:hAnsi="Times New Roman" w:cs="Times New Roman"/>
        </w:rPr>
        <w:t>s</w:t>
      </w:r>
      <w:r w:rsidR="00443B58" w:rsidRPr="00883206">
        <w:rPr>
          <w:rFonts w:ascii="Times New Roman" w:hAnsi="Times New Roman" w:cs="Times New Roman"/>
        </w:rPr>
        <w:t xml:space="preserve"> will restrict credit union growth and mean less </w:t>
      </w:r>
      <w:r w:rsidR="002656DF" w:rsidRPr="00883206">
        <w:rPr>
          <w:rFonts w:ascii="Times New Roman" w:hAnsi="Times New Roman" w:cs="Times New Roman"/>
        </w:rPr>
        <w:t xml:space="preserve">resources </w:t>
      </w:r>
      <w:r w:rsidR="00443B58" w:rsidRPr="00883206">
        <w:rPr>
          <w:rFonts w:ascii="Times New Roman" w:hAnsi="Times New Roman" w:cs="Times New Roman"/>
        </w:rPr>
        <w:t>to invest in products and services that benefit the member-owners.</w:t>
      </w:r>
      <w:r w:rsidR="00685B84" w:rsidRPr="00883206">
        <w:rPr>
          <w:rFonts w:ascii="Times New Roman" w:hAnsi="Times New Roman" w:cs="Times New Roman"/>
        </w:rPr>
        <w:t xml:space="preserve">  The future success of the credit union system is dependent on institutional ability to grow and compete.  Overly restrictive regulatory requirement</w:t>
      </w:r>
      <w:r w:rsidR="006D2D25" w:rsidRPr="00883206">
        <w:rPr>
          <w:rFonts w:ascii="Times New Roman" w:hAnsi="Times New Roman" w:cs="Times New Roman"/>
        </w:rPr>
        <w:t>s</w:t>
      </w:r>
      <w:r w:rsidR="00685B84" w:rsidRPr="00883206">
        <w:rPr>
          <w:rFonts w:ascii="Times New Roman" w:hAnsi="Times New Roman" w:cs="Times New Roman"/>
        </w:rPr>
        <w:t xml:space="preserve"> for capitalization inhibit growth.  The credit union system as a whole is well capitalized </w:t>
      </w:r>
      <w:r w:rsidR="001C5016" w:rsidRPr="00883206">
        <w:rPr>
          <w:rFonts w:ascii="Times New Roman" w:hAnsi="Times New Roman" w:cs="Times New Roman"/>
        </w:rPr>
        <w:t>today,</w:t>
      </w:r>
      <w:r w:rsidR="00685B84" w:rsidRPr="00883206">
        <w:rPr>
          <w:rFonts w:ascii="Times New Roman" w:hAnsi="Times New Roman" w:cs="Times New Roman"/>
        </w:rPr>
        <w:t xml:space="preserve"> and additional burdens are unwarranted.</w:t>
      </w:r>
      <w:r w:rsidR="00F71455" w:rsidRPr="00883206">
        <w:rPr>
          <w:rFonts w:ascii="Times New Roman" w:hAnsi="Times New Roman" w:cs="Times New Roman"/>
        </w:rPr>
        <w:t xml:space="preserve"> </w:t>
      </w:r>
    </w:p>
    <w:p w14:paraId="3E17C210" w14:textId="307CC292" w:rsidR="00145881" w:rsidRPr="00883206" w:rsidRDefault="00145881" w:rsidP="00B31B10">
      <w:pPr>
        <w:spacing w:after="0" w:line="240" w:lineRule="auto"/>
        <w:rPr>
          <w:rFonts w:ascii="Times New Roman" w:hAnsi="Times New Roman" w:cs="Times New Roman"/>
        </w:rPr>
      </w:pPr>
    </w:p>
    <w:p w14:paraId="3D411DF3" w14:textId="0E0CDD83" w:rsidR="00145881" w:rsidRPr="00883206" w:rsidRDefault="00145881" w:rsidP="00B31B10">
      <w:pPr>
        <w:spacing w:after="0" w:line="240" w:lineRule="auto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</w:rPr>
        <w:t>Sincerely,</w:t>
      </w:r>
    </w:p>
    <w:p w14:paraId="1E9AA63B" w14:textId="2DE7E7C4" w:rsidR="00E551D2" w:rsidRPr="00883206" w:rsidRDefault="00E551D2" w:rsidP="00B31B10">
      <w:pPr>
        <w:spacing w:after="0" w:line="240" w:lineRule="auto"/>
        <w:rPr>
          <w:rFonts w:ascii="Times New Roman" w:hAnsi="Times New Roman" w:cs="Times New Roman"/>
        </w:rPr>
      </w:pPr>
    </w:p>
    <w:p w14:paraId="34B312A9" w14:textId="38B1B32A" w:rsidR="00E551D2" w:rsidRPr="00883206" w:rsidRDefault="00E325D0" w:rsidP="00B31B10">
      <w:pPr>
        <w:spacing w:after="0" w:line="240" w:lineRule="auto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  <w:noProof/>
        </w:rPr>
        <w:drawing>
          <wp:inline distT="0" distB="0" distL="0" distR="0" wp14:anchorId="14331519" wp14:editId="73C13744">
            <wp:extent cx="1133856" cy="320040"/>
            <wp:effectExtent l="0" t="0" r="9525" b="381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D01E1" w14:textId="0DBDD8C7" w:rsidR="00E551D2" w:rsidRPr="00883206" w:rsidRDefault="00E551D2" w:rsidP="00B31B10">
      <w:pPr>
        <w:spacing w:after="0" w:line="240" w:lineRule="auto"/>
        <w:rPr>
          <w:rFonts w:ascii="Times New Roman" w:hAnsi="Times New Roman" w:cs="Times New Roman"/>
        </w:rPr>
      </w:pPr>
    </w:p>
    <w:p w14:paraId="4731FB12" w14:textId="27E2BF2A" w:rsidR="00E551D2" w:rsidRPr="00883206" w:rsidRDefault="00E551D2" w:rsidP="00B31B10">
      <w:pPr>
        <w:spacing w:after="0" w:line="240" w:lineRule="auto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</w:rPr>
        <w:t>Carrie Hunt</w:t>
      </w:r>
    </w:p>
    <w:p w14:paraId="40CC77D6" w14:textId="12714EBA" w:rsidR="00E551D2" w:rsidRPr="00883206" w:rsidRDefault="00E551D2" w:rsidP="00B31B10">
      <w:pPr>
        <w:spacing w:after="0" w:line="240" w:lineRule="auto"/>
        <w:rPr>
          <w:rFonts w:ascii="Times New Roman" w:hAnsi="Times New Roman" w:cs="Times New Roman"/>
        </w:rPr>
      </w:pPr>
      <w:r w:rsidRPr="00883206">
        <w:rPr>
          <w:rFonts w:ascii="Times New Roman" w:hAnsi="Times New Roman" w:cs="Times New Roman"/>
        </w:rPr>
        <w:t>President/CEO</w:t>
      </w:r>
    </w:p>
    <w:p w14:paraId="52808AEB" w14:textId="77777777" w:rsidR="00E00CDF" w:rsidRPr="00883206" w:rsidRDefault="00E00CDF" w:rsidP="00B31B10">
      <w:pPr>
        <w:spacing w:after="0" w:line="240" w:lineRule="auto"/>
        <w:rPr>
          <w:rFonts w:ascii="Times New Roman" w:hAnsi="Times New Roman" w:cs="Times New Roman"/>
        </w:rPr>
      </w:pPr>
    </w:p>
    <w:sectPr w:rsidR="00E00CDF" w:rsidRPr="00883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003CB"/>
    <w:multiLevelType w:val="hybridMultilevel"/>
    <w:tmpl w:val="5EAE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57"/>
    <w:rsid w:val="00003BFB"/>
    <w:rsid w:val="00017238"/>
    <w:rsid w:val="00026B9C"/>
    <w:rsid w:val="00032D30"/>
    <w:rsid w:val="000D2F57"/>
    <w:rsid w:val="000D6C8E"/>
    <w:rsid w:val="000E71AA"/>
    <w:rsid w:val="00145881"/>
    <w:rsid w:val="00176978"/>
    <w:rsid w:val="001B34C8"/>
    <w:rsid w:val="001C334E"/>
    <w:rsid w:val="001C5016"/>
    <w:rsid w:val="001D701E"/>
    <w:rsid w:val="002201B9"/>
    <w:rsid w:val="00227E5A"/>
    <w:rsid w:val="002322D8"/>
    <w:rsid w:val="002348D8"/>
    <w:rsid w:val="00250009"/>
    <w:rsid w:val="00263C08"/>
    <w:rsid w:val="002656DF"/>
    <w:rsid w:val="00296FF0"/>
    <w:rsid w:val="002C65EA"/>
    <w:rsid w:val="00320799"/>
    <w:rsid w:val="00344977"/>
    <w:rsid w:val="003F4757"/>
    <w:rsid w:val="00443B58"/>
    <w:rsid w:val="00485BFB"/>
    <w:rsid w:val="004B56B3"/>
    <w:rsid w:val="005515A6"/>
    <w:rsid w:val="005617D3"/>
    <w:rsid w:val="0058745F"/>
    <w:rsid w:val="00591FCC"/>
    <w:rsid w:val="005E7CA7"/>
    <w:rsid w:val="00612B0A"/>
    <w:rsid w:val="006275E8"/>
    <w:rsid w:val="00637207"/>
    <w:rsid w:val="00640236"/>
    <w:rsid w:val="006425D7"/>
    <w:rsid w:val="00685B84"/>
    <w:rsid w:val="006D2D25"/>
    <w:rsid w:val="007366B3"/>
    <w:rsid w:val="00744747"/>
    <w:rsid w:val="00761505"/>
    <w:rsid w:val="0078301A"/>
    <w:rsid w:val="00784D0A"/>
    <w:rsid w:val="008037E7"/>
    <w:rsid w:val="00824E16"/>
    <w:rsid w:val="00825BDF"/>
    <w:rsid w:val="00827F31"/>
    <w:rsid w:val="008338C8"/>
    <w:rsid w:val="008469E3"/>
    <w:rsid w:val="008506FA"/>
    <w:rsid w:val="00883206"/>
    <w:rsid w:val="008D492F"/>
    <w:rsid w:val="00923630"/>
    <w:rsid w:val="009433D6"/>
    <w:rsid w:val="00950911"/>
    <w:rsid w:val="009F02FA"/>
    <w:rsid w:val="00A911D5"/>
    <w:rsid w:val="00AB60CB"/>
    <w:rsid w:val="00B31B10"/>
    <w:rsid w:val="00BA5665"/>
    <w:rsid w:val="00C06D76"/>
    <w:rsid w:val="00C34976"/>
    <w:rsid w:val="00C453F3"/>
    <w:rsid w:val="00CD6971"/>
    <w:rsid w:val="00D35A3A"/>
    <w:rsid w:val="00D514C9"/>
    <w:rsid w:val="00D66E93"/>
    <w:rsid w:val="00E00CDF"/>
    <w:rsid w:val="00E325D0"/>
    <w:rsid w:val="00E343EB"/>
    <w:rsid w:val="00E551D2"/>
    <w:rsid w:val="00E97231"/>
    <w:rsid w:val="00EC7EC1"/>
    <w:rsid w:val="00EF5E84"/>
    <w:rsid w:val="00F7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917A"/>
  <w15:chartTrackingRefBased/>
  <w15:docId w15:val="{D2A7B4BD-3D76-416D-B9FA-044FEB05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1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4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9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Miles</dc:creator>
  <cp:keywords/>
  <dc:description/>
  <cp:lastModifiedBy>Lewis Wood</cp:lastModifiedBy>
  <cp:revision>2</cp:revision>
  <cp:lastPrinted>2021-07-15T20:14:00Z</cp:lastPrinted>
  <dcterms:created xsi:type="dcterms:W3CDTF">2021-10-14T13:44:00Z</dcterms:created>
  <dcterms:modified xsi:type="dcterms:W3CDTF">2021-10-14T13:44:00Z</dcterms:modified>
</cp:coreProperties>
</file>